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requirements for compliance AI models: initial validation, periodic re-validation, performance metrics, data lineage, audit trails of AI-assisted decisions.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GRAMALTIN AS Validation requirements for compliance AI models: initial validation, periodic re-validation, performance metrics, data lineage, audit trails of AI-assisted decisions. Regulatory Basis: UAE FDL No.(10) of 2025 Art. 20; Cabinet Resolution 134/2025 Art. 53-54; LBMA RGG v9 Step 5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