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 on limitations.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MADISON LLC Board-approved Responsible AI Policy: permissible use cases, prohibited applications, data privacy, vendor criteria, incident response, staff training on limitations. Regulatory Basis: UAE FDL No.(10) of 2025 Art. 20; Cabinet Resolution 134/2025 Art. 58; UAE National AI Strategy; FATF Digital Transformation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