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HSV2-TPK-2026-04-06-UNASSIGNED-AIG-05_Responsible_A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1213964638919294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AIG-05 | Responsible AI Policy for Compliance Function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https://app.asana.com/1/1213645083721316/project/1213908611400789/task/1213964638919294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Board-approved Responsible AI Policy: permissible use cases, prohibited applications, data privacy, vendor criteria, incident response, staff training on limitations.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UAE National AI Strategy; FATF Digital Transformation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AIG-05 | Responsible AI Policy for Compliance Function - ENTITY: GRAMALTIN AS Board-approved Responsible AI Policy: permissible use cases, prohibited applications, data privacy, vendor criteria, incident response, staff training on limitations. Regulatory Basis: UAE FDL No.(10) of 2025 Art. 20; Cabinet Resolution 134/2025 Art. 58; UAE National AI Strategy; FATF Digital Transformation (2023)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