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HSV2-TPK-2026-04-06-UNASSIGNED-AIG-05_Responsible_A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AIG-05 | Responsible AI Policy for Compliance Function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Board-approved Responsible AI Policy: permissible use cases, prohibited applications, data privacy, vendor criteria, incident response, staff training.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UAE National AI Strategy; FATF Digital Transformation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AIG-05 | Responsible AI Policy for Compliance Function - ENTITY: NAPLES LLC Board-approved Responsible AI Policy: permissible use cases, prohibited applications, data privacy, vendor criteria, incident response, staff training. Regulatory Basis: UAE FDL No.(10) of 2025 Art. 20; Cabinet Resolution 134/2025 Art. 58; UAE National AI Strategy; FATF Digital Transformation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