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HSV2-TPK-2026-04-06-UNASSIGNED-AIG-05_Responsible_A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1213965289703664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AIG-05 | Responsible AI Policy for Compliance Function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https://app.asana.com/1/1213645083721316/project/1213908508433868/task/1213965289703664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Board-approved Responsible AI Policy: permissible use cases, prohibited applications, data privacy, vendor criteria, incident response, staff training on limitations.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UAE National AI Strategy; FATF Digital Transformation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AIG-05 | Responsible AI Policy for Compliance Function - ENTITY: FG BRANCH Board-approved Responsible AI Policy: permissible use cases, prohibited applications, data privacy, vendor criteria, incident response, staff training on limitations. Regulatory Basis: UAE FDL No.(10) of 2025 Art. 20; Cabinet Resolution 134/2025 Art. 58; UAE National AI Strategy; FATF Digital Transformation (2023)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