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spacing w:after="0"/>
      </w:pPr>
      <w:r>
        <w:rPr>
          <w:rFonts w:ascii="Courier New" w:hAnsi="Courier New" w:cs="Courier New"/>
          <w:sz w:val="20"/>
        </w:rPr>
        <w:t xml:space="preserve">=============================================================================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THE REPORTING ENTITY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TASK COMPLIANCE PACK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Entity UNASSIGNED / Task 1213959825120047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=============================================================================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reference:   HSV2-TPK-2026-04-06-UNASSIGNED-AIG-10_AI_Governance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Classification:       Confidential. For MLRO review and regulator disclosure only.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Version:              1.0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Prepared by:          Compliance function, the Reporting Entity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Prepared on:          2026-04-06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Addressee:            LF, Money Laundering Reporting Officer (MLRO)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Coverage:             Pack generated for Asana task 1213959825120047 on 2026-04-06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Retention period:     10 years, in accordance with the applicable provision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                    of Federal Decree-Law No. 10 of 2025.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1. TASK IDENTIFICATION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Task name:         AIG-10 | AI Governance Annual Review and Board Reporting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Task reference:    1213959825120047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Project:           ZOE FZE - COMPLIANCE PROGRAMME 2026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Reporting entity:  UNASSIGNED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Assignee:          Luisa Fernanda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Created:           2026-04-05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Due date:          2026-10-03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Completed:         no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Asana permalink:   https://app.asana.com/1/1213645083721316/project/1213908828069020/task/1213959825120047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Task notes on file (first 1 000 characters):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ENTITY: ZOE FZE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Annual AI governance review: performance metrics, incident summary, bias testing results, regulatory developments, vendor assessments. Board report summarizing AI risk profile.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Regulatory Basis: UAE FDL No.(10) of 2025 Art. 20; Cabinet Resolution 134/2025 Art. 58; FATF Rec. 18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Priority: Medium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Source: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AIG-10 | AI Governance Annual Review and Board Reporting - ENTITY: ZOE FZEAnnual AI governance review: performance metrics, incident summary, bias testing results, regulatory developments, vendor assessments. Board report summarizing AI risk profile.Regulatory Basis: UAE FDL No.(10) of 2025 Art. 20; Cabinet Resolution 134/2025 Art. 58; FATF Rec. 18Priority: Medium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Source file: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ZOE_FZE_BATCH_1_of_4.csv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2. AUTOMATION PRE-SCREEN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The automation pre-scan did not match any typology keyword in the task name or notes.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The pre-scan is advisory only. The compliance function remains responsible for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the final typology assessment and for any filing decision.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3. CUSTOMER IDENTIFICATION AND DUE DILIGENCE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Full legal name of customer or counterparty: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Trading name, if different: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Customer type:                                [ natural person ] [ legal person ] [ arrangement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Nationality or place of incorporation: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Date of birth or incorporation date: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Identification document type:                 [ passport ] [ Emirates ID ] [ trade licence ] [ other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number:        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issue date:    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expiry date:   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Address of record:      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Beneficial owner(s) identified:               [ yes ] [ no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Source of funds stated by the customer: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Source of wealth stated by the customer: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CDD depth applied:                            [ simplified ] [ standard ] [ enhanced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PEP status:                                   [ yes ] [ no ]   if yes, attach the PEP screen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Adverse media reviewed:                       [ yes ] [ no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Customer risk rating assigned:                [ low ] [ medium ] [ high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Date of latest CDD review:                    [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4. TRANSACTION DETAILS (if the task concerns a specific transaction)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Transaction date: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Transaction type:                 [ cash purchase ] [ cash sale ] [ trade-in ] [ refining ] [ other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Item description: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Assay or certification reference: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Total consideration (AED):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Cash component (AED):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Non-cash component and method: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Counterparty role in transaction: [ buyer ] [ seller ] [ agent ] [ introducer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Aggregation applied:              [ yes ] [ no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Rolling thirty-day aggregated AED:[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DPMSR threshold assessment:       [ below ] [ at or above ] the cash transaction threshold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                                specified by the DPMSR framework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5. RED-FLAG ASSESSMENT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Red flag identified:              [ yes ] [ no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Typology cited:                   [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Narrative of concern (short paragraphs, facts only):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6. SANCTIONS AND PEP SCREENING RECORD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UNSC Consolidated List screen:            [ clear ] [ potential match ] [ confirmed match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UAE Local Terrorist List screen (EOCN):   [ clear ] [ potential match ] [ confirmed match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PEP source list screen:                   [ clear ] [ potential match ] [ confirmed match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Adverse media screen:                     [ clear ] [ adverse hit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Screen date:        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Screen performed by: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Evidence reference in the archive:        [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7. FILING DECISION MATRIX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Does this matter require a filing to the Financial Intelligence Unit through the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goAML platform?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Suspicious Transaction Report (STR)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Suspicious Activity Report (SAR)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Dealers in Precious Metals and Stones Report (DPMSR)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Partial Name Match Report (PNMR)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Funds Freeze Report (FFR)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No filing required at this stage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Filing reference assigned internally: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Internal filing deadline: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goAML submission date, if filed: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goAML receipt reference, if filed:     [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8. MLRO DECISION AND SIGN-OFF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MLRO decision:          [ file ] [ do not file ] [ further review requested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Date of decision:       [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Reasoning (one short paragraph, factual):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Decided by:   LF, Money Laundering Reporting Officer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Signature:    __________________________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Date:         __________________________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9. RETENTION AND CONFIDENTIALITY NOTE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This pack and every supporting document are retained for a minimum of 10 years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in accordance with the applicable provision of Federal Decree-Law No. 10 of 2025. Access is restricted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to the MLRO, the compliance function and any authorised representative of the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Ministry of Economy or the Financial Intelligence Unit acting in an official capacity.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-----------------------------------------------------------------------------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SIGN-OFF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-----------------------------------------------------------------------------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Prepared by:   Compliance function, the Reporting Entity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Reviewed by:   [awaiting MLRO review]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Approved by:   [awaiting MLRO approval]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For review by the MLRO, LF.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[End of document]</w:t>
      </w:r>
    </w:p>
    <w:sectPr>
      <w:pgSz w:w="12240" w:h="15840"/>
      <w:pgMar w:top="1080" w:right="1080" w:bottom="1080" w:left="1080" w:header="720" w:footer="720" w:gutter="0"/>
    </w:sectPr>
  </w:body>
</w:document>
</file>