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HSV2-TPK-2026-04-06-UNASSIGNED-CDD-02_CDD_SOP_-_Leg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legal persons: trade license, MOA/AOA, certificate of incorporation, board resolution, register of shareholders/directors. UBO identification at 25%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Cabinet Decision 10/2019; FATF Rec. 10, 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LLCSOP for identifying legal persons: trade license, MOA/AOA, certificate of incorporation, board resolution, register of shareholders/directors. UBO identification at 25% threshold.Regulatory Basis: UAE FDL No.(10) of 2025 Art. 16; Cabinet Resolution 134/2025 Art. 9; Cabinet Decision 10/2019; FATF Rec. 10, 24Priority: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