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HSV2-TPK-2026-04-06-UNASSIGNED-CDD-02_CDD_SOP_-_Leg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1213958649536030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CDD-02 | CDD SOP - Legal Persons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SOP for identifying legal persons: trade license, MOA/AOA, certificate of incorporation, board resolution, register of shareholders/directors. UBO identification at 25% threshold.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Cabinet Decision 10/2019; FATF Rec. 10, 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CDD-02 | CDD SOP - Legal Persons - ENTITY: GRAMALTIN ASSOP for identifying legal persons: trade license, MOA/AOA, certificate of incorporation, board resolution, register of shareholders/directors. UBO identification at 25% threshold.Regulatory Basis: UAE FDL No.(10) of 2025 Art. 16; Cabinet Resolution 134/2025 Art. 9; Cabinet Decision 10/2019; FATF Rec. 10, 24Priority: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