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HSV2-TPK-2026-04-06-UNASSIGNED-CDD-02_CDD_SOP_-_Leg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legal persons: trade license, MOA/AOA, certificate of incorporation, board resolution, register of shareholders/directors. UBO identification at 25%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Cabinet Decision 10/2019; FATF Rec. 10, 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CDD-02 | CDD SOP - Legal Persons | CDD / EDD / KYC PROCEDURES | ENTITY: MADISON LLCSOP for identifying legal persons: trade license, MOA/AOA, certificate of incorporation, board resolution, register of shareholders/directors. UBO identification at 25% threshold.Regulatory Basis: UAE FDL No.(10) of 2025 Art. 16; Cabinet Resolution 134/2025 Art. 9; Cabinet Decision 10/2019; FATF Rec. 10, 24Priority: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