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1213954968705616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HSV2-TPK-2026-04-06-UNASSIGNED-CDD-03_Beneficial_Ow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1213954968705616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CDD-03 | Beneficial Ownership Identification and UBO Register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1213954968705616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https://app.asana.com/1/1213645083721316/project/1213909833048586/task/1213954968705616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UBO identification at 25% ownership/control threshold: look-through methodology, UBO Register template, ongoing monitoring for ownership changes, verification against MOEC registry.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Cabinet Decision No.(10) of 2019; UAE FDL No.(10) of 2025 Art. 9-10; Cabinet Resolution 134/2025 Art. 9; FATF Rec. 24-25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Critical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CDD / EDD / KYC PROCEDURES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CDD-03 | Beneficial Ownership Identification and UBO Register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LLCUBO identification at 25% ownership/control threshold: look-through methodology, UBO Register template, ongoing monitoring for ownership changes, verification against MOEC registry.Regulatory Basis: Cabinet Decision No.(10) of 2019; UAE FDL No.(10) of 2025 Art. 9-10; Cabinet Resolution 134/2025 Art. 9; FATF Rec. 24-25Priority: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FG_LLC_BATCH_2_of_4.csv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