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HSV2-TPK-2026-04-06-UNASSIGNED-CDD-03_Beneficial_Ow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1213958649536029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CDD-03 | Beneficial Ownership Identification and UBO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https://app.asana.com/1/1213645083721316/project/1213908611400789/task/1213958649536029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UBO identification at 25% ownership/control threshold: look-through methodology, UBO Register template, ongoing monitoring for ownership changes, verification against MOEC registry.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Decision No.(10) of 2019; UAE FDL No.(10) of 2025 Art. 9-10; Cabinet Resolution 134/2025 Art. 9; FATF Rec. 24-25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CDD-03 | Beneficial Ownership Identification and UBO Register - ENTITY: GRAMALTIN ASUBO identification at 25% ownership/control threshold: look-through methodology, UBO Register template, ongoing monitoring for ownership changes, verification against MOEC registry.Regulatory Basis: Cabinet Decision No.(10) of 2019; UAE FDL No.(10) of 2025 Art. 9-10; Cabinet Resolution 134/2025 Art. 9; FATF Rec. 24-25Priority: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