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HSV2-TPK-2026-04-06-UNASSIGNED-CDD-03_Beneficial_Ow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1213959825120030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CDD-03 | Beneficial Ownership Identification and UBO Register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https://app.asana.com/1/1213645083721316/project/1213908827982041/task/1213959825120030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UBO identification at 25% ownership/control threshold: look-through methodology, UBO Register template, ongoing monitoring for ownership changes, verification against MOEC registry.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Decision No.(10) of 2019; UAE FDL No.(10) of 2025 Art. 9-10; Cabinet Resolution 134/2025 Art. 9; FATF Rec. 24-25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CDD-03 | Beneficial Ownership Identification and UBO Register - ENTITY: NAPLES LLCUBO identification at 25% ownership/control threshold: look-through methodology, UBO Register template, ongoing monitoring for ownership changes, verification against MOEC registry.Regulatory Basis: Cabinet Decision No.(10) of 2019; UAE FDL No.(10) of 2025 Art. 9-10; Cabinet Resolution 134/2025 Art. 9; FATF Rec. 24-25Priority: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