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HSV2-TPK-2026-04-06-UNASSIGNED-CDD-03_Beneficial_Ow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1213962483599071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CDD-03 | Beneficial Ownership Identification and UBO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https://app.asana.com/1/1213645083721316/project/1213908508433868/task/1213962483599071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UBO identification at 25% ownership/control threshold: look-through methodology, UBO Register template, ongoing monitoring for ownership changes, verification against MOEC registry.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Decision No.(10) of 2019; UAE FDL No.(10) of 2025 Art. 9-10; Cabinet Resolution 134/2025 Art. 9; FATF Rec. 24-25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CDD-03 | Beneficial Ownership Identification and UBO Register - ENTITY: FG BRANCHUBO identification at 25% ownership/control threshold: look-through methodology, UBO Register template, ongoing monitoring for ownership changes, verification against MOEC registry.Regulatory Basis: Cabinet Decision No.(10) of 2019; UAE FDL No.(10) of 2025 Art. 9-10; Cabinet Resolution 134/2025 Art. 9; FATF Rec. 24-25Priority: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