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HSV2-TPK-2026-04-06-UNASSIGNED-CDD-03_Beneficial_Ow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CDD-03 | Beneficial Ownership Identification and UBO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UBO identification at 25% ownership/control threshold: look-through methodology, UBO Register template, ongoing monitoring for ownership changes, verification against MOEC registry.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2019; UAE FDL No.(10) of 2025 Art. 9-10; Cabinet Resolution 134/2025 Art. 9;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CDD-03 | Beneficial Ownership Identification and UBO Register | CDD / EDD / KYC PROCEDURES | ENTITY: MADISON LLCUBO identification at 25% ownership/control threshold: look-through methodology, UBO Register template, ongoing monitoring for ownership changes, verification against MOEC registry.Regulatory Basis: Cabinet Decision No.(10) of 2019; UAE FDL No.(10) of 2025 Art. 9-10; Cabinet Resolution 134/2025 Art. 9;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