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HSV2-TPK-2026-04-06-UNASSIGNED-CDD-03_Beneficial_Ow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CDD-03 | Beneficial Ownership Identification and UBO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UBO identification at 25% ownership/control threshold: look-through methodology, UBO Register template, ongoing monitoring for ownership changes, verification against MOEC registry.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2019; UAE FDL No.(10) of 2025 Art. 9-10; Cabinet Resolution 134/2025 Art. 9;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CDD-03 | Beneficial Ownership Identification and UBO Register - ENTITY: ZOE FZEUBO identification at 25% ownership/control threshold: look-through methodology, UBO Register template, ongoing monitoring for ownership changes, verification against MOEC registry.Regulatory Basis: Cabinet Decision No.(10) of 2019; UAE FDL No.(10) of 2025 Art. 9-10; Cabinet Resolution 134/2025 Art. 9;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