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HSV2-TPK-2026-04-06-UNASSIGNED-CDD-05_Enhanced_Due_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CDD-05 | Enhanced Due Diligence Triggers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All EDD triggers: PEPs, high-risk jurisdictions, complex structures, unusual transactions, correspondent relationships, high-value cash, NPOs. Additional information and approval per trigger.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16(3-4); Cabinet Resolution 134/2025 Art. 12-13; FATF Rec. 10, 12, 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CDD-05 | Enhanced Due Diligence Triggers and Procedures | CDD / EDD / KYC PROCEDURES | ENTITY: MADISON LLCAll EDD triggers: PEPs, high-risk jurisdictions, complex structures, unusual transactions, correspondent relationships, high-value cash, NPOs. Additional information and approval per trigger.Regulatory Basis: UAE FDL No.(10) of 2025 Art. 16(3-4); Cabinet Resolution 134/2025 Art. 12-13; FATF Rec. 10, 12, 19Priority: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