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HSV2-TPK-2026-04-06-UNASSIGNED-CDD-08_Ongoing_Due_D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ODD frequencies: High annually, Medium every 2 years, Low every 3 years. Trigger-based reviews for material changes. Review scope, re-verification,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16(5);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LLCODD frequencies: High annually, Medium every 2 years, Low every 3 years. Trigger-based reviews for material changes. Review scope, re-verification, escalation.Regulatory Basis: UAE FDL No.(10) of 2025 Art. 16(5);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