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HSV2-TPK-2026-04-06-UNASSIGNED-CDD-08_Ongoing_Due_D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ODD frequencies: High annually, Medium every 2 years, Low every 3 years. Trigger-based reviews for material changes. Review scope, re-verification,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16(5); Cabinet Resolution 134/2025 Art. 10; FATF Rec.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CDD-08 | Ongoing Due Diligence and Periodic Review Schedule - ENTITY: GRAMALTIN ASODD frequencies: High annually, Medium every 2 years, Low every 3 years. Trigger-based reviews for material changes. Review scope, re-verification, escalation.Regulatory Basis: UAE FDL No.(10) of 2025 Art. 16(5);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