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HSV2-TPK-2026-04-06-UNASSIGNED-CDD-08_Ongoing_Due_D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CDD-08 | Ongoing Due Diligence and Periodic Review Schedule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ODD frequencies: High annually, Medium every 2 years, Low every 3 years. Trigger-based reviews for material changes. Review scope, re-verification, escalation.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16(5);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CDD-08 | Ongoing Due Diligence and Periodic Review Schedule - ENTITY: NAPLES LLCODD frequencies: High annually, Medium every 2 years, Low every 3 years. Trigger-based reviews for material changes. Review scope, re-verification, escalation.Regulatory Basis: UAE FDL No.(10) of 2025 Art. 16(5);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