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HSV2-TPK-2026-04-06-UNASSIGNED-CDD-08_Ongoing_Due_D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1213962483599066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CDD-08 | Ongoing Due Diligence and Periodic Review Schedule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https://app.asana.com/1/1213645083721316/project/1213908508433868/task/1213962483599066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ODD frequencies: High annually, Medium every 2 years, Low every 3 years. Trigger-based reviews for material changes. Review scope, re-verification,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16(5); Cabinet Resolution 134/2025 Art. 10;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CDD-08 | Ongoing Due Diligence and Periodic Review Schedule - ENTITY: FG BRANCHODD frequencies: High annually, Medium every 2 years, Low every 3 years. Trigger-based reviews for material changes. Review scope, re-verification, escalation.Regulatory Basis: UAE FDL No.(10) of 2025 Art. 16(5); Cabinet Resolution 134/2025 Art. 10;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