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HSV2-TPK-2026-04-06-UNASSIGNED-CDD-11_Reliance_on_T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CDD-11 | Reliance on Third Parties for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Conditions for third-party reliance: eligible categories, jurisdictional requirements, written agreements, immediate data access, ultimate liability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17; Cabinet Resolution 134/2025 Art. 15; FATF Rec.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CDD-11 | Reliance on Third Parties for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LLCConditions for third-party reliance: eligible categories, jurisdictional requirements, written agreements, immediate data access, ultimate liability retention.Regulatory Basis: UAE FDL No.(10) of 2025 Art. 17; Cabinet Resolution 134/2025 Art. 15; FATF Rec. 17Priority: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