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HSV2-TPK-2026-04-06-UNASSIGNED-CDD-11_Reliance_on_T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1213958649536021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CDD-11 | Reliance on Third Parties for CDD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https://app.asana.com/1/1213645083721316/project/1213908611400789/task/1213958649536021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Conditions for third-party reliance: eligible categories, jurisdictional requirements, written agreements, immediate data access, ultimate liability retention.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17; Cabinet Resolution 134/2025 Art. 15; FATF Rec. 17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CDD-11 | Reliance on Third Parties for CDD - ENTITY: GRAMALTIN ASConditions for third-party reliance: eligible categories, jurisdictional requirements, written agreements, immediate data access, ultimate liability retention.Regulatory Basis: UAE FDL No.(10) of 2025 Art. 17; Cabinet Resolution 134/2025 Art. 15; FATF Rec. 17Priority: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