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HSV2-TPK-2026-04-06-UNASSIGNED-CDD-11_Reliance_on_T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1213962483599063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CDD-11 | Reliance on Third Parties for CDD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https://app.asana.com/1/1213645083721316/project/1213908508433868/task/1213962483599063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Conditions for third-party reliance: eligible categories, jurisdictional requirements, written agreements, immediate data access, ultimate liability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17; Cabinet Resolution 134/2025 Art. 15; FATF Rec.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CDD-11 | Reliance on Third Parties for CDD - ENTITY: FG BRANCHConditions for third-party reliance: eligible categories, jurisdictional requirements, written agreements, immediate data access, ultimate liability retention.Regulatory Basis: UAE FDL No.(10) of 2025 Art. 17; Cabinet Resolution 134/2025 Art. 15; FATF Rec. 17Priority: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