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1213962484089632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HSV2-TPK-2026-04-06-UNASSIGNED-CDD-11_Reliance_on_T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1213962484089632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CDD-11 | Reliance on Third Parties for CDD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1213962484089632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https://app.asana.com/1/1213645083721316/project/1213908611350810/task/1213962484089632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Conditions for third-party reliance: eligible categories, jurisdictional requirements, written agreements, immediate data access, ultimate liability retention.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17; Cabinet Resolution 134/2025 Art. 15; FATF Rec. 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CDD-11 | Reliance on Third Parties for CDD | CDD / EDD / KYC PROCEDURES | ENTITY: MADISON LLCConditions for third-party reliance: eligible categories, jurisdictional requirements, written agreements, immediate data access, ultimate liability retention.Regulatory Basis: UAE FDL No.(10) of 2025 Art. 17; Cabinet Resolution 134/2025 Art. 15; FATF Rec. 17Priority: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