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HSV2-TPK-2026-04-06-UNASSIGNED-FIU-02_SAR_Drafting_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1213959825120009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FIU-02 | SAR Drafting and Filing SOP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https://app.asana.com/1/1213645083721316/project/1213908827982041/task/1213959825120009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SAR for non-transaction suspicions: behavioural indicators, attempted transactions, third-party information. SAR vs STR distinction, filing criteria, goAML submission.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FIU-02 | SAR Drafting and Filing SOP - ENTITY: NAPLES LLCSAR for non-transaction suspicions: behavioural indicators, attempted transactions, third-party information. SAR vs STR distinction, filing criteria, goAML submission.Regulatory Basis: UAE FDL No.(10) of 2025 Art. 15; Cabinet Resolution 134/2025 Art. 18; UAE FIU goAML GuidancePriority: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