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HSV2-TPK-2026-04-06-UNASSIGNED-FIU-02_SAR_Drafting_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FIU-02 | SAR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SAR for non-transaction suspicions: behavioural indicators, attempted transactions, third-party information. SAR vs STR distinction, filing criteria, goAML submission.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FIU-02 | SAR Drafting and Filing SOP - ENTITY: FG BRANCHSAR for non-transaction suspicions: behavioural indicators, attempted transactions, third-party information. SAR vs STR distinction, filing criteria, goAML submission.Regulatory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