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HSV2-TPK-2026-04-06-UNASSIGNED-FIU-02_SAR_Drafting_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 for non-transaction suspicions: behavioural indicators, attempted transactions, third-party information. SAR vs STR distinction, filing criteria, goAML submission.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FIU-02 | SAR Drafting and Filing SOP | FIU REPORTING AND goAML | ENTITY: MADISON LLCSAR for non-transaction suspicions: behavioural indicators, attempted transactions, third-party information. SAR vs STR distinction, filing criteria, goAML submission.Regulatory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