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HSV2-TPK-2026-04-06-UNASSIGNED-FIU-03_HRC_HRCA_Repo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FIU-03 | HRC/HRCA Reporting and 3-Day 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High-Risk Country transaction reporting and mandatory 3-business-day hold: HRC list, triggers, hold implementation, communication restrictions, goAML filing, release.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12; FIU HRC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FIU-03 | HRC/HRCA Reporting and 3-Day 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LLCHigh-Risk Country transaction reporting and mandatory 3-business-day hold: HRC list, triggers, hold implementation, communication restrictions, goAML filing, release.Regulatory Basis: UAE FDL No.(10) of 2025 Art. 15; Cabinet Resolution 134/2025 Art. 12; FIU HRC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