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HSV2-TPK-2026-04-06-UNASSIGNED-FIU-03_HRC_HRCA_Repo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1213958649536007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FIU-03 | HRC/HRCA Reporting and 3-Day 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https://app.asana.com/1/1213645083721316/project/1213908611400789/task/1213958649536007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High-Risk Country transaction reporting and mandatory 3-business-day hold: HRC list, triggers, hold implementation, communication restrictions, goAML filing, release.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12; FIU HRC Guidance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FIU-03 | HRC/HRCA Reporting and 3-Day Hold - ENTITY: GRAMALTIN ASHigh-Risk Country transaction reporting and mandatory 3-business-day hold: HRC list, triggers, hold implementation, communication restrictions, goAML filing, release.Regulatory Basis: UAE FDL No.(10) of 2025 Art. 15; Cabinet Resolution 134/2025 Art. 12; FIU HRC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