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HSV2-TPK-2026-04-06-UNASSIGNED-FIU-03_HRC_HRCA_Repo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1213959825120008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FIU-03 | HRC/HRCA Reporting and 3-Day 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https://app.asana.com/1/1213645083721316/project/1213908827982041/task/1213959825120008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High-Risk Country transaction reporting and mandatory 3-business-day hold: HRC list, triggers, hold implementation, communication restrictions, goAML filing, release.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12; FIU HRC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FIU-03 | HRC/HRCA Reporting and 3-Day Hold - ENTITY: NAPLES LLCHigh-Risk Country transaction reporting and mandatory 3-business-day hold: HRC list, triggers, hold implementation, communication restrictions, goAML filing, release.Regulatory Basis: UAE FDL No.(10) of 2025 Art. 15; Cabinet Resolution 134/2025 Art. 12; FIU HRC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