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HSV2-TPK-2026-04-06-UNASSIGNED-FIU-04_AIF_AIFT_Supp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1213954968705593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FIU-04 | AIF/AIFT Supplementary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https://app.asana.com/1/1213645083721316/project/1213909833048586/task/1213954968705593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Additional Information Forms via goAML: triggers for supplementary filings, linking to original STR/SAR, information to include, timeline.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goAML Guidance; Cabinet Resolution 134/2025 Art. 18-19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FIU-04 | AIF/AIFT Supplementary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LLCAdditional Information Forms via goAML: triggers for supplementary filings, linking to original STR/SAR, information to include, timeline.Regulatory Basis: UAE FIU goAML Guidance; Cabinet Resolution 134/2025 Art. 18-19Priority: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