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HSV2-TPK-2026-04-06-UNASSIGNED-FIU-04_AIF_AIFT_Supp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1213958649536006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FIU-04 | AIF/AIFT Supplementary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Additional Information Forms via goAML: triggers for supplementary filings, linking to original STR/SAR, information to include, timeline.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18-19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FIU-04 | AIF/AIFT Supplementary Filing Procedure - ENTITY: GRAMALTIN ASAdditional Information Forms via goAML: triggers for supplementary filings, linking to original STR/SAR, information to include, timeline.Regulatory Basis: UAE FIU goAML Guidance; Cabinet Resolution 134/2025 Art. 18-19Priority: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