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HSV2-TPK-2026-04-06-UNASSIGNED-FIU-04_AIF_AIFT_Supp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FIU-04 | AIF/AIFT Supplementary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Additional Information Forms via goAML: triggers for supplementary filings, linking to original STR/SAR, information to include, timeline.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18-19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FIU-04 | AIF/AIFT Supplementary Filing Procedure | FIU REPORTING AND goAML | ENTITY: MADISON LLCAdditional Information Forms via goAML: triggers for supplementary filings, linking to original STR/SAR, information to include, timeline.Regulatory Basis: UAE FIU goAML Guidance; Cabinet Resolution 134/2025 Art. 18-19Priority: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