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HSV2-TPK-2026-04-06-UNASSIGNED-FIU-05_goAML_Message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1213958649536005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FIU-05 | goAML Message Board Monitoring and FIU RFI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Systematic goAML Message Board monitoring: daily check schedule, RFI response timeline, designated responders, escalation, response quality.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FIU-05 | goAML Message Board Monitoring and FIU RFI Response - ENTITY: GRAMALTIN ASSystematic goAML Message Board monitoring: daily check schedule, RFI response timeline, designated responders, escalation, response quality.Regulatory Basis: UAE FDL No.(10) of 2025 Art. 15; Cabinet Resolution 134/2025 Art. 18-19; UAE FIU goAML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