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HSV2-TPK-2026-04-06-UNASSIGNED-FIU-05_goAML_Message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1213962483599047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FIU-05 | goAML Message Board Monitoring and FIU RFI Response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https://app.asana.com/1/1213645083721316/project/1213908508433868/task/1213962483599047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Systematic goAML Message Board monitoring: daily check schedule, RFI response timeline, designated responders, escalation, response quality.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FIU-05 | goAML Message Board Monitoring and FIU RFI Response - ENTITY: FG BRANCHSystematic goAML Message Board monitoring: daily check schedule, RFI response timeline, designated responders, escalation, response quality.Regulatory Basis: UAE FDL No.(10) of 2025 Art. 15; Cabinet Resolution 134/2025 Art. 18-19; UAE FIU goAML GuidancePriority: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