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HSV2-TPK-2026-04-06-UNASSIGNED-FIU-05_goAML_Message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1213962484089616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FIU-05 | goAML Message Board Monitoring and FIU RFI Response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https://app.asana.com/1/1213645083721316/project/1213908611350810/task/1213962484089616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Systematic goAML Message Board monitoring: daily check schedule, RFI response timeline, designated responders, escalation, response quality.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FIU-05 | goAML Message Board Monitoring and FIU RFI Response | FIU REPORTING AND goAML | ENTITY: MADISON LLCSystematic goAML Message Board monitoring: daily check schedule, RFI response timeline, designated responders, escalation, response quality.Regulatory Basis: UAE FDL No.(10) of 2025 Art. 15; Cabinet Resolution 134/2025 Art. 18-19; UAE FIU goAML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