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HSV2-TPK-2026-04-06-UNASSIGNED-FIU-08_Quarterly_FIU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FIU-08 | Quarterly FIU Feedback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Quarterly review: filed STR outcomes, RFI patterns, common deficiencies, sector advisories. Incorporate learnings into red flags, training,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FIU-08 | Quarterly FIU Feedback Review | FIU REPORTING AND goAML | ENTITY: MADISON LLCQuarterly review: filed STR outcomes, RFI patterns, common deficiencies, sector advisories. Incorporate learnings into red flags, training, procedures.Regulatory Basis: UAE FDL No.(10) of 2025 Art. 20; Cabinet Resolution 134/2025 Art. 58;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