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1213958649364613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HSV2-TPK-2026-04-06-UNASSIGNED-FIU-RF01_DPMSR_Filin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1213958649364613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FIU-RF01 | DPMSR Filing Anomalies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1213958649364613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https://app.asana.com/1/1213645083721316/project/1213909833048586/task/1213958649364613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FIU DPMS TYPOLOGIES - OPERATIONAL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Fewer DPMSRs than peers, values at minimum threshold, filing gaps during peak trading, late/backdated filings, incomplete buyer/seller data, no STRs despite high volumes. Context: 300,000+ DPMSRs per year.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MOE Circular 08/2021; UAE FDL No.(10) of 2025 Art. 15; Cabinet Resolution 134/2025 Art.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FIU-RF01 | DPMSR Filing Anomalies - ENTITY: FG LLC Fewer DPMSRs than peers, values at minimum threshold, filing gaps during peak trading, late/backdated filings, incomplete buyer/seller data, no STRs despite high volumes. Context: 300,000+ DPMSRs per year. Regulatory Basis: UAE FIU DPMS Report; MOE Circular 08/2021; UAE FDL No.(10) of 2025 Art. 15; Cabinet Resolution 134/2025 Art. 17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dpmsrTrigger.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