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1213958649508640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HSV2-TPK-2026-04-06-UNASSIGNED-FIU-RF01_DPMSR_Filin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1213958649508640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FIU-RF01 | DPMSR Filing Anomalies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1213958649508640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https://app.asana.com/1/1213645083721316/project/1213908611400789/task/1213958649508640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Fewer DPMSRs than peers, values at minimum threshold, filing gaps during peak trading, late/backdated filings, incomplete buyer/seller data, no STRs despite high volumes. Context: 300,000+ DPMSRs per year.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DPMS Report; MOE Circular 08/2021; UAE FDL No.(10) of 2025 Art. 15; Cabinet Resolution 134/2025 Art. 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Fewer DPMSRs than peers, values at minimum threshold, filing gaps during peak trading, late/backdated filings, incomplete buyer/seller data, no STRs despite high volumes. Context: 300,000+ DPMSRs per year. Regulatory Basis: UAE FIU DPMS Report; MOE Circular 08/2021; UAE FDL No.(10) of 2025 Art. 15; Cabinet Resolution 134/2025 Art. 17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dpmsrTrigger.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