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HSV2-TPK-2026-04-06-UNASSIGNED-FIU-RF01_DPMSR_Filin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1213959825119945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FIU-RF01 | DPMSR Filing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https://app.asana.com/1/1213645083721316/project/1213908611350810/task/1213959825119945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Fewer DPMSRs than peers, values at minimum threshold, filing gaps during peak trading, late/backdated filings, incomplete buyer/seller data, no STRs despite high volumes. Context: 300,000+ DPMSRs per year.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MOE Circular 08/2021; UAE FDL No.(10) of 2025 Art. 15; Cabinet Resolution 134/2025 Art.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FIU-RF01 | DPMSR Filing Anomalies - ENTITY: MADISON LLC Fewer DPMSRs than peers, values at minimum threshold, filing gaps during peak trading, late/backdated filings, incomplete buyer/seller data, no STRs despite high volumes. Context: 300,000+ DPMSRs per year. Regulatory Basis: UAE FIU DPMS Report; MOE Circular 08/2021; UAE FDL No.(10) of 2025 Art. 15; Cabinet Resolution 134/2025 Art. 17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