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HSV2-TPK-2026-04-06-UNASSIGNED-FIU-RF01_DPMSR_Filin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FIU-RF01 | DPMSR Filing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Fewer DPMSRs than peers, values at minimum threshold, filing gaps during peak trading, late/backdated filings, incomplete buyer/seller data, no STRs despite high volumes. Context: 300,000+ DPMSRs per year.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MOE Circular 08/2021; UAE FDL No.(10) of 2025 Art. 15; Cabinet Resolution 134/2025 Art.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LLCFewer DPMSRs than peers, values at minimum threshold, filing gaps during peak trading, late/backdated filings, incomplete buyer/seller data, no STRs despite high volumes. Context: 300,000+ DPMSRs per year.Regulatory Basis: UAE FIU DPMS Report; MOE Circular 08/2021; UAE FDL No.(10) of 2025 Art. 15; Cabinet Resolution 134/2025 Art. 17Priority: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