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HSV2-TPK-2026-04-06-UNASSIGNED-FIU-RF01_DPMSR_Filin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1213964638768776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FIU-RF01 | DPMSR Filing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https://app.asana.com/1/1213645083721316/project/1213908508433868/task/1213964638768776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Fewer DPMSRs than peers, values at minimum threshold, filing gaps during peak trading, late/backdated filings, incomplete buyer/seller data, no STRs despite high volumes. Context: 300,000+ DPMSRs per year.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MOE Circular 08/2021; UAE FDL No.(10) of 2025 Art. 15; Cabinet Resolution 134/2025 Art.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BRANCHFewer DPMSRs than peers, values at minimum threshold, filing gaps during peak trading, late/backdated filings, incomplete buyer/seller data, no STRs despite high volumes. Context: 300,000+ DPMSRs per year.Regulatory Basis: UAE FIU DPMS Report; MOE Circular 08/2021; UAE FDL No.(10) of 2025 Art. 15; Cabinet Resolution 134/2025 Art. 17Priority: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