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1213958649508639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HSV2-TPK-2026-04-06-UNASSIGNED-FIU-RF02_Gold_Souk_a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1213958649508639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FIU-RF02 | Gold Souk and Retail DPMS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1213958649508639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https://app.asana.com/1/1213645083721316/project/1213908611400789/task/1213958649508639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Walk-in cash without ID, tourist purchases above personal use, multiple shop purchases same day, cash premium above market, turnover inconsistent with shop size, disproportionate wire transfer customers.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Report; UAE NRA 2024; UAE FDL No.(10) of 2025 Art. 15-16; Cabinet Resolution 134/2025 Art. 4, 8-9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Walk-in cash without ID, tourist purchases above personal use, multiple shop purchases same day, cash premium above market, turnover inconsistent with shop size, disproportionate wire transfer customers. Regulatory Basis: UAE FIU DPMS Report; UAE NRA 2024; UAE FDL No.(10) of 2025 Art. 15-16; Cabinet Resolution 134/2025 Art. 4, 8-9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