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HSV2-TPK-2026-04-06-UNASSIGNED-FIU-RF02_Gold_Souk_a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FIU-RF02 | Gold Souk and Retail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Walk-in cash without ID, tourist purchases above personal use, multiple shop purchases same day, cash premium above market, turnover inconsistent with shop size, disproportionate wire transfer customers.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Cabinet Resolution 134/2025 Art. 4,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FIU-RF02 | Gold Souk and Retail DPMS Red Flags - ENTITY: MADISON LLC Walk-in cash without ID, tourist purchases above personal use, multiple shop purchases same day, cash premium above market, turnover inconsistent with shop size, disproportionate wire transfer customers. Regulatory Basis: UAE FIU DPMS Report; UAE NRA 2024; UAE FDL No.(10) of 2025 Art. 15-16; Cabinet Resolution 134/2025 Art. 4, 8-9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