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LLCWalk-in cash without ID, tourist purchases above personal use, multiple shop purchases same day, cash premium above market, turnover inconsistent with shop size, disproportionate wire transfer customers.Regulatory Basis: UAE FIU DPMS Report; UAE NRA 2024; UAE FDL No.(10) of 2025 Art. 15-16; Cabinet Resolution 134/2025 Art. 4, 8-9Priority: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