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FIU-RF03 | Hawala and Informal Value Transfer via Gold - ENTITY: MADISON LLC Gold as hawala settlement: buy UAE/sell abroad by different party, settlement patterns, multi-Emirate network, inter-souk movements, cash-gold-cash cycles, debt settlement unrelated to gold. Regulatory Basis: UAE FIU DPMS Report; UAE NRA 2024; UAE FDL No.(10) of 2025 Art. 4; FATF Rec. 14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