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HSV2-TPK-2026-04-06-UNASSIGNED-FIU-RF03_Hawala_and_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FIU-RF03 | Hawala and Informal Value Transfer via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 as hawala settlement: buy UAE/sell abroad by different party, settlement patterns, multi-Emirate network, inter-souk movements, cash-gold-cash cycles, debt settlement unrelated to gold.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4; FATF Rec. 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BRANCHGold as hawala settlement: buy UAE/sell abroad by different party, settlement patterns, multi-Emirate network, inter-souk movements, cash-gold-cash cycles, debt settlement unrelated to gold.Regulatory Basis: UAE FIU DPMS Report; UAE NRA 2024; UAE FDL No.(10) of 2025 Art. 4; FATF Rec. 14Priority: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