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HSV2-TPK-2026-04-06-UNASSIGNED-FIU-RF04_Free_Trade_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FIU-RF04 | Free Trade Zone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FTZ risks: FTZ-to-FTZ USD wire settlements, no physical presence, FTZ transit for documentation change, new entity with immediate high volume, sanctioned jurisdiction ownership, customs discrepancies. Dubai hosts 73% of DPMS.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FIU-RF04 | Free Trade Zone DPMS Red Flags - ENTITY: ZOE FZE FTZ risks: FTZ-to-FTZ USD wire settlements, no physical presence, FTZ transit for documentation change, new entity with immediate high volume, sanctioned jurisdiction ownership, customs discrepancies. Dubai hosts 73% of DPMS. Regulatory Basis: UAE FIU DPMS Report; UAE NRA 2024; UAE FDL No.(10) of 2025 Art. 15-16; FATF Guidance for DPMS (2020)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