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FIU-RF04 | Free Trade Zone DPMS Red Flags - ENTITY: FG LLC FTZ risks: FTZ-to-FTZ USD wire settlements, no physical presence, FTZ transit for documentation change, new entity with immediate high volume, sanctioned jurisdiction ownership, customs discrepancies. Dubai hosts 73% of DPMS. Regulatory Basis: UAE FIU DPMS Report; UAE NRA 2024; UAE FDL No.(10) of 2025 Art. 15-16; FATF Guidance for DPMS (2020)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