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FTZ risks: FTZ-to-FTZ USD wire settlements, no physical presence, FTZ transit for documentation change, new entity with immediate high volume, sanctioned jurisdiction ownership, customs discrepancies. Dubai hosts 73% of DPMS. Regulatory Basis: UAE FIU DPMS Report; UAE NRA 2024; UAE FDL No.(10) of 2025 Art. 15-16; FATF Guidance for DPMS (2020)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